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Reinforced exposed union</w:t></w:r></w:p><w:p><w:pPr/><w:r><w:rPr><w:rFonts w:ascii="Calibri" w:hAnsi="Calibri" w:eastAsia="Calibri" w:cs="Calibri"/><w:sz w:val="22"/><w:szCs w:val="22"/></w:rPr><w:t xml:space="preserve">For TEMPOMATIC 3 & 4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841215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Reinforced exposed union.</w:t></w:r></w:p><w:p><w:pPr><w:spacing w:line="288" w:lineRule="auto"/></w:pPr><w:r><w:rPr><w:rFonts w:ascii="Calibri" w:hAnsi="Calibri" w:eastAsia="Calibri" w:cs="Calibri"/><w:sz w:val="22"/><w:szCs w:val="22"/></w:rPr><w:t xml:space="preserve">Supplied with sleek concealment plate.</w:t></w:r></w:p><w:p><w:pPr><w:spacing w:line="288" w:lineRule="auto"/></w:pPr><w:r><w:rPr><w:rFonts w:ascii="Calibri" w:hAnsi="Calibri" w:eastAsia="Calibri" w:cs="Calibri"/><w:sz w:val="22"/><w:szCs w:val="22"/></w:rPr><w:t xml:space="preserve">Recommended for the installation of TEMPOMATIC 3 (443006) or TEMPOMATIC 4 (443436, 443536) wall-mounted basin taps with exposed supply.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2025-04-03T21:13:38+02:00</dcterms:created>
  <dcterms:modified xsi:type="dcterms:W3CDTF">2025-04-03T21:13:38+02:00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