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/>
          <w:bCs/>
        </w:rPr>
        <w:t xml:space="preserve">Cut-to-size extension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aluminium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 210mm, H. 1000mm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/>
          <w:bCs/>
        </w:rPr>
        <w:t xml:space="preserve">790152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aluminium shower panel.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Protects the pipework between the top of the shower panel and the ceiling.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W. 210mm, H. 1,000mm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Extension can be cut-to-size.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/>
      <w:bCs/>
    </w:rPr>
  </w:style>
  <w:style w:type="paragraph" w:styleId="Heading2">
    <w:link w:val="Heading2Char"/>
    <w:name w:val="heading 2"/>
    <w:rPr>
      <w:color w:val="222222"/>
      <w:sz w:val="32"/>
      <w:szCs w:val="32"/>
      <w:b/>
      <w:bCs/>
    </w:rPr>
  </w:style>
  <w:style w:type="paragraph" w:styleId="Heading3">
    <w:link w:val="Heading3Char"/>
    <w:name w:val="heading 3"/>
    <w:rPr>
      <w:color w:val="222222"/>
      <w:sz w:val="28"/>
      <w:szCs w:val="28"/>
    </w:rPr>
  </w:style>
  <w:style w:type="paragraph" w:styleId="Heading4">
    <w:link w:val="Heading4Char"/>
    <w:name w:val="heading 4"/>
    <w:rPr>
      <w:color w:val="438fac"/>
      <w:sz w:val="26"/>
      <w:szCs w:val="26"/>
      <w:b/>
      <w:bCs/>
    </w:rPr>
  </w:style>
  <w:style w:type="paragraph" w:styleId="Heading5">
    <w:link w:val="Heading5Char"/>
    <w:name w:val="heading 5"/>
    <w:rPr>
      <w:color w:val="111111"/>
      <w:sz w:val="40"/>
      <w:szCs w:val="40"/>
      <w:b/>
      <w:bCs/>
    </w:rPr>
  </w:style>
  <w:style w:type="table" w:customStyle="1" w:styleId="TechSheet">
    <w:name w:val="TechSheet"/>
    <w:uiPriority w:val="99"/>
    <w:tblPr>
      <w:tblW w:w="0" w:type="auto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2024-01-15T17:25:56+01:00</dcterms:created>
  <dcterms:modified xsi:type="dcterms:W3CDTF">2024-01-15T17:25:56+01:00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