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/>
    <w:p>
      <w:pPr/>
      <w:r>
        <w:rPr>
          <w:rFonts w:ascii="Calibri" w:hAnsi="Calibri" w:eastAsia="Calibri" w:cs="Calibri"/>
          <w:sz w:val="22"/>
          <w:szCs w:val="22"/>
          <w:b w:val="1"/>
          <w:bCs w:val="1"/>
        </w:rPr>
        <w:t xml:space="preserve">TEMPOMIX time flow shower panel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Time flow single control</w:t>
      </w:r>
    </w:p>
    <w:p>
      <w:pPr/>
      <w:r>
        <w:rPr>
          <w:rFonts w:ascii="Calibri" w:hAnsi="Calibri" w:eastAsia="Calibri" w:cs="Calibri"/>
          <w:sz w:val="22"/>
          <w:szCs w:val="22"/>
        </w:rPr>
        <w:t xml:space="preserve">Top inlet, fixed head, alu</w:t>
      </w:r>
    </w:p>
    <w:p/>
    <w:p>
      <w:pPr/>
      <w:r>
        <w:rPr>
          <w:rFonts w:ascii="Calibri" w:hAnsi="Calibri" w:eastAsia="Calibri" w:cs="Calibri"/>
          <w:sz w:val="22"/>
          <w:szCs w:val="22"/>
        </w:rPr>
        <w:t xml:space="preserve">Reference: </w:t>
      </w:r>
      <w:r>
        <w:rPr>
          <w:rFonts w:ascii="Calibri" w:hAnsi="Calibri" w:eastAsia="Calibri" w:cs="Calibri"/>
          <w:color w:val="0088bc"/>
          <w:sz w:val="22"/>
          <w:szCs w:val="22"/>
          <w:b w:val="1"/>
          <w:bCs w:val="1"/>
        </w:rPr>
        <w:t xml:space="preserve">790300</w:t>
      </w:r>
    </w:p>
    <w:p/>
    <w:p/>
    <w:p>
      <w:pPr>
        <w:spacing w:line="336" w:lineRule="auto"/>
      </w:pPr>
      <w:r>
        <w:rPr>
          <w:rFonts w:ascii="Calibri" w:hAnsi="Calibri" w:eastAsia="Calibri" w:cs="Calibri"/>
          <w:sz w:val="22"/>
          <w:szCs w:val="22"/>
          <w:u w:val="single"/>
        </w:rPr>
        <w:t xml:space="preserve">Specification description</w:t>
      </w:r>
    </w:p>
    <w:p/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shower panel with fixed shower head: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Anodised aluminium shower panel for wall-mounted, exposed installation.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Top inlet via stopcocks M½".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TEMPOMIX shower mixer with adjustable maximum temperature limiter.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Soft-touch operation.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Time flow ~30 seconds.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Flow rate 6 lpm at 3 bar. 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Chrome-plated, tamperproof, scale-resistant, fixed, ROUND shower head with automatic flow rate regulation.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Concealed fixings.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Filters and non-return valves.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Shower panel suitable for people with reduced mobility.</w:t>
      </w:r>
    </w:p>
    <w:p>
      <w:pPr>
        <w:spacing w:line="288" w:lineRule="auto"/>
      </w:pPr>
      <w:r>
        <w:rPr>
          <w:rFonts w:ascii="Calibri" w:hAnsi="Calibri" w:eastAsia="Calibri" w:cs="Calibri"/>
          <w:sz w:val="22"/>
          <w:szCs w:val="22"/>
        </w:rPr>
        <w:t xml:space="preserve">30-year warranty.</w:t>
      </w:r>
    </w:p>
    <w:sectPr>
      <w:headerReference w:type="default" r:id="rId7"/>
      <w:pgSz w:orient="portrait" w:w="11905.511811023622" w:h="16837.79527559055"/>
      <w:pgMar w:top="1200" w:right="1500" w:bottom="1000" w:left="145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Garamond">
    <w:panose1 w:val="02020404030301010803"/>
    <w:charset w:val="00"/>
    <w:family w:val="roman"/>
    <w:pitch w:val="variable"/>
    <w:sig w:usb0="00000287" w:usb1="00000002" w:usb2="00000000" w:usb3="00000000" w:csb0="000000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center"/>
    </w:pPr>
    <w:r>
      <w:pict>
        <v:shape type="#_x0000_t75" stroked="f" style="width:115pt; height:18.662280701754pt; margin-left:0pt; margin-top:0pt; mso-position-horizontal:left; mso-position-vertical:absolute; mso-position-horizontal-relative:char; mso-position-vertical-relative:line;">
          <w10:wrap type="inline"/>
          <v:imagedata r:id="rId1" o:title="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spacing w:after="0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rPr>
      <w:color w:val="438fac"/>
      <w:sz w:val="36"/>
      <w:szCs w:val="36"/>
      <w:b w:val="1"/>
      <w:bCs w:val="1"/>
    </w:rPr>
  </w:style>
  <w:style w:type="paragraph" w:styleId="Heading2">
    <w:link w:val="Heading2Char"/>
    <w:name w:val="heading 2"/>
    <w:rPr>
      <w:color w:val="222222"/>
      <w:sz w:val="32"/>
      <w:szCs w:val="32"/>
      <w:b w:val="1"/>
      <w:bCs w:val="1"/>
    </w:rPr>
  </w:style>
  <w:style w:type="paragraph" w:styleId="Heading3">
    <w:link w:val="Heading3Char"/>
    <w:name w:val="heading 3"/>
    <w:rPr>
      <w:color w:val="222222"/>
      <w:sz w:val="28"/>
      <w:szCs w:val="28"/>
      <w:b w:val="0"/>
      <w:bCs w:val="0"/>
    </w:rPr>
  </w:style>
  <w:style w:type="paragraph" w:styleId="Heading4">
    <w:link w:val="Heading4Char"/>
    <w:name w:val="heading 4"/>
    <w:rPr>
      <w:color w:val="438fac"/>
      <w:sz w:val="26"/>
      <w:szCs w:val="26"/>
      <w:b w:val="1"/>
      <w:bCs w:val="1"/>
    </w:rPr>
  </w:style>
  <w:style w:type="paragraph" w:styleId="Heading5">
    <w:link w:val="Heading5Char"/>
    <w:name w:val="heading 5"/>
    <w:rPr>
      <w:color w:val="111111"/>
      <w:sz w:val="40"/>
      <w:szCs w:val="40"/>
      <w:b w:val="1"/>
      <w:bCs w:val="1"/>
    </w:rPr>
  </w:style>
  <w:style w:type="table" w:customStyle="1" w:styleId="TechSheet">
    <w:name w:val="TechSheet"/>
    <w:uiPriority w:val="99"/>
    <w:tblPr>
      <w:tblW w:w="0" w:type="auto"/>
      <w:tblLayout w:type="autofit"/>
      <w:bidiVisual w:val="0"/>
      <w:tblBorders>
        <w:top w:val="single" w:sz="0" w:color="ffffff"/>
        <w:left w:val="single" w:sz="0" w:color="ffffff"/>
        <w:right w:val="single" w:sz="0" w:color="ffffff"/>
        <w:bottom w:val="single" w:sz="1" w:color="999999"/>
      </w:tblBorders>
    </w:tblPr>
  </w:style>
  <w:style w:type="paragraph" w:customStyle="1" w:styleId="pStyle">
    <w:name w:val="pStyle"/>
    <w:basedOn w:val="Normal"/>
    <w:pPr>
      <w:spacing w:line="3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_rels/header1.xml.rels><?xml version="1.0" encoding="UTF-8" standalone="yes"?>
<Relationships xmlns="http://schemas.openxmlformats.org/package/2006/relationships"><Relationship Id="rId1" Type="http://schemas.openxmlformats.org/officeDocument/2006/relationships/image" Target="media/header1_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2025-04-03T00:31:39+02:00</dcterms:created>
  <dcterms:modified xsi:type="dcterms:W3CDTF">2025-04-03T00:31:39+02:00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